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Lobos,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16 de marzo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2021.-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Distrito Lobos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La Dirección del Instituto Superior de Formación Docente y Técnica Nº 43 de Lobos, en el marco de la Resolución Nº 5886/03 y su modificatoria del ANEXO I, Resolución N° 1161/20,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-CARRERA: Profesorado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Educación Secundaria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en Biología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-Resol. Nº  13259/099 – 3581/00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Profesor de Química, Bioquímico</w:t>
      </w:r>
    </w:p>
    <w:p w:rsidR="00000000" w:rsidDel="00000000" w:rsidP="00000000" w:rsidRDefault="00000000" w:rsidRPr="00000000" w14:paraId="0000000A">
      <w:pPr>
        <w:rPr>
          <w:rFonts w:ascii="Source Sans Pro" w:cs="Source Sans Pro" w:eastAsia="Source Sans Pro" w:hAnsi="Source Sans Pro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-AÑO/CURSO: 3°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-PERSPECTIVA/ESPACIO: Química Biológica y Laboratorio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 2 Módulos semanales.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REVISTA: Provisional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-MOTIVO: Apertura de curso ciclo 2021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-LAPSO:  3 de Mayo  de 2021 al 31 de Marzo de 2022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-TURNO:  VESPERTINO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-HORARIO: Miércoles de 20 a 22 hs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PREVISTO: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(6 días corridos, ambas en simultáneo):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desde el viernes 19/03/2021 al miércoles 24/03/2021.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28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INSCRIPCION: LINK FORMULARIO: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https://forms.gle/QQv4qxGRFwCe8dxh7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1428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2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 correo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1428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enviar EN FORMATO PDF AL CORREO DEL INSTITUTO,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</w:rPr>
        <mc:AlternateContent>
          <mc:Choice Requires="wpg">
            <w:drawing>
              <wp:inline distB="114300" distT="114300" distL="114300" distR="114300">
                <wp:extent cx="6470333" cy="2117232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8025" y="0"/>
                          <a:ext cx="6470333" cy="2117232"/>
                          <a:chOff x="118025" y="0"/>
                          <a:chExt cx="6740100" cy="2201575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18025" y="108175"/>
                            <a:ext cx="6740100" cy="209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                              Sello                                           			………………………………….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5664.000244140625" w:right="0" w:firstLine="6372.0001220703125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     Firma y sello de Autoridad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La Secretaria de Asuntos Docentes recibe conforme: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                                                                                                  ……………..……………………….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                                                                                                   Firma y sello Secretaria de A. D.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descr="sello instituto sin fondo.png" id="3" name="Shape 3"/>
                          <pic:cNvPicPr preferRelativeResize="0"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2450" y="0"/>
                            <a:ext cx="1530600" cy="185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Anita sin fondo.png" id="4" name="Shape 4"/>
                          <pic:cNvPicPr preferRelativeResize="0"/>
                        </pic:nvPicPr>
                        <pic:blipFill>
                          <a:blip r:embed="rId1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1626" y="0"/>
                            <a:ext cx="1688201" cy="116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470333" cy="2117232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0333" cy="211723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Química Biológica y Laboratorio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• Química del carbono. Grupos funcionales. Biomoléculas.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• Nucleótidos y polinucleótidos. Estructura química del DNA y RNA. 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predicción de fenómenos o resultados a partir de modelos. Fuentes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materia y energía. La termodinámica química. Leyes.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• Metabolismo: Enzima. Cofactores. Enzimas de óxido reducción.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• Cadena respiratoria. Fermentación. Fotosíntesis. Biosíntesis de compuesto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del carbono.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Expectativas de Logro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- Reconocimiento los aportes de la Química a la comprensión de los procesos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biológicos, ambientales y sus aplicaciones tecnológicas con la realización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trabajos de laboratorio.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- Evaluación de proyectos de investigación y resultados.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bottom w:color="000000" w:space="1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- Identificación de problemas y planteo de preguntas.</w:t>
      </w:r>
      <w:r w:rsidDel="00000000" w:rsidR="00000000" w:rsidRPr="00000000">
        <w:rPr>
          <w:rtl w:val="0"/>
        </w:rPr>
      </w:r>
    </w:p>
    <w:sectPr>
      <w:headerReference r:id="rId16" w:type="default"/>
      <w:pgSz w:h="20163" w:w="12242" w:orient="portrait"/>
      <w:pgMar w:bottom="735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-20954</wp:posOffset>
          </wp:positionH>
          <wp:positionV relativeFrom="paragraph">
            <wp:posOffset>-440689</wp:posOffset>
          </wp:positionV>
          <wp:extent cx="2200275" cy="11188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410" l="16905" r="48866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3855720</wp:posOffset>
          </wp:positionH>
          <wp:positionV relativeFrom="paragraph">
            <wp:posOffset>1905</wp:posOffset>
          </wp:positionV>
          <wp:extent cx="3001010" cy="600075"/>
          <wp:effectExtent b="0" l="0" r="0" t="0"/>
          <wp:wrapSquare wrapText="bothSides" distB="0" distT="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1010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sfdyt43.bue.infd.edu.ar" TargetMode="External"/><Relationship Id="rId10" Type="http://schemas.openxmlformats.org/officeDocument/2006/relationships/hyperlink" Target="mailto:isfdyt43lobos@abc.gob.ar" TargetMode="External"/><Relationship Id="rId13" Type="http://schemas.openxmlformats.org/officeDocument/2006/relationships/image" Target="media/image4.png"/><Relationship Id="rId12" Type="http://schemas.openxmlformats.org/officeDocument/2006/relationships/hyperlink" Target="mailto:isfdyt43lobos@abc.gob.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fdyt43lobos@abc.gob.ar" TargetMode="External"/><Relationship Id="rId15" Type="http://schemas.openxmlformats.org/officeDocument/2006/relationships/image" Target="media/image2.png"/><Relationship Id="rId14" Type="http://schemas.openxmlformats.org/officeDocument/2006/relationships/image" Target="media/image5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QQv4qxGRFwCe8dxh7" TargetMode="External"/><Relationship Id="rId8" Type="http://schemas.openxmlformats.org/officeDocument/2006/relationships/hyperlink" Target="http://www.isfdyt43.bue.infd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9qdyRYJUFSINGexMG2tTHYTPw==">AMUW2mUsYpmbaVfcc+lUH/KyoutE+tiWSVYUEO0kW17+SgOahNApv54HoAwsdASMrPyFAijQS+SFXmjy/FHEZe/MAO4WBF5Bnx4bGeE120qQUTF4ErnZsnm5e9ND0e6g+RyjRUo8x++/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