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Lobos, 10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2021.-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en el marco del ASPO,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Profesorado del Tercer de la EGB y la Educación Polimodal en Historia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25/03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2°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Espacio de la Práctica Docente II (especialista)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 3 módulos  (2 módulos en sede + 1 módulo en terreno)  . SITUACION DE REVISTA: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de mayo 2021 al 31 de marzo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Viernes de 20 a 22 hs. + 1 módulo en terreno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CRONOGRAMA PREVISTO:</w:t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desde 10/05/2021 al 15/05/2021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hanging="2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jc w:val="both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vertAlign w:val="baselin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6">
      <w:pPr>
        <w:ind w:left="15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4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9">
      <w:pPr>
        <w:ind w:left="-14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14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14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1180" y="0"/>
                            <a:chExt cx="67397" cy="2333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80" y="0"/>
                              <a:ext cx="67375" cy="2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80" y="1082"/>
                              <a:ext cx="67397" cy="22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Sello                                           			………………………………….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Firma y sello de Autoridad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La Secretaria de Asuntos Docentes recibe conforme: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                                                                    ……………..……………………….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                                                                                                            Firma y sello Secretaria de A. D.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424" y="0"/>
                              <a:ext cx="15306" cy="18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6616" y="0"/>
                              <a:ext cx="16882" cy="11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ESPACIO DE LA PRACTICA DOCENTE II- ESPECIALISTA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20" w:lineRule="auto"/>
        <w:jc w:val="both"/>
        <w:rPr>
          <w:rFonts w:ascii="Source Sans Pro" w:cs="Source Sans Pro" w:eastAsia="Source Sans Pro" w:hAnsi="Source Sans Pr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4" w:val="single"/>
        </w:pBdr>
        <w:rPr>
          <w:rFonts w:ascii="Source Sans Pro" w:cs="Source Sans Pro" w:eastAsia="Source Sans Pro" w:hAnsi="Source Sans Pr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vertAlign w:val="baseline"/>
          <w:rtl w:val="0"/>
        </w:rPr>
        <w:t xml:space="preserve">Análisis de Proyectos Curriculares Institucionales y Áulicos: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rPr>
          <w:rFonts w:ascii="Source Sans Pro" w:cs="Source Sans Pro" w:eastAsia="Source Sans Pro" w:hAnsi="Source Sans Pro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vertAlign w:val="baseline"/>
          <w:rtl w:val="0"/>
        </w:rPr>
        <w:t xml:space="preserve">Identificación de sus supuestos. - Aplicación de conceptos y principios explicativos abordados en los distintos Espacios Formativos. - Detección y caracterización de los Componentes de los Proyectos Curriculares. </w:t>
      </w:r>
    </w:p>
    <w:p w:rsidR="00000000" w:rsidDel="00000000" w:rsidP="00000000" w:rsidRDefault="00000000" w:rsidRPr="00000000" w14:paraId="00000046">
      <w:pPr>
        <w:pBdr>
          <w:bottom w:color="000000" w:space="1" w:sz="4" w:val="single"/>
        </w:pBdr>
        <w:rPr>
          <w:rFonts w:ascii="Source Sans Pro" w:cs="Source Sans Pro" w:eastAsia="Source Sans Pro" w:hAnsi="Source Sans Pro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vertAlign w:val="baseline"/>
          <w:rtl w:val="0"/>
        </w:rPr>
        <w:t xml:space="preserve">Diseño de Propuestas Didácticas</w:t>
      </w: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7">
      <w:pPr>
        <w:pBdr>
          <w:bottom w:color="000000" w:space="1" w:sz="4" w:val="single"/>
        </w:pBdr>
        <w:rPr>
          <w:rFonts w:ascii="Source Sans Pro" w:cs="Source Sans Pro" w:eastAsia="Source Sans Pro" w:hAnsi="Source Sans Pro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vertAlign w:val="baseline"/>
          <w:rtl w:val="0"/>
        </w:rPr>
        <w:t xml:space="preserve">Reconocimiento del Currículum como Marco prescriptivo y orientador. - Especificación de Expectativas de Logro.</w:t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rPr>
          <w:rFonts w:ascii="Source Sans Pro" w:cs="Source Sans Pro" w:eastAsia="Source Sans Pro" w:hAnsi="Source Sans Pro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vertAlign w:val="baseline"/>
          <w:rtl w:val="0"/>
        </w:rPr>
        <w:t xml:space="preserve">Selección y Organización de Contenidos, a partir de diferentes criterios. - Selección fundamentada de técnicas, estrategias, recursos didácticos y tecnológicos. - Elaboración de propuestas de evaluación de los aprendizajes y de las propias prácticas. </w:t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rPr>
          <w:rFonts w:ascii="Source Sans Pro" w:cs="Source Sans Pro" w:eastAsia="Source Sans Pro" w:hAnsi="Source Sans Pro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vertAlign w:val="baseline"/>
          <w:rtl w:val="0"/>
        </w:rPr>
        <w:t xml:space="preserve">Implementación de Propuestas Didácticas</w:t>
      </w: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Bdr>
          <w:bottom w:color="000000" w:space="1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vertAlign w:val="baseline"/>
          <w:rtl w:val="0"/>
        </w:rPr>
        <w:t xml:space="preserve"> Adecuación al contexto, al P.E.I. y al grupo de alumnos. - Aplicación de distintas estrategias de enseñanza. - Utilización de recursos didácticos. - Orientación y coordinación de procesos de aprendizaje grupal e individual. - Instrumentación de propuestas evaluativas. - Resignificación didáctica de actividades institucionales (actos escolares, proyectos específicos de Formación Ética, acciones de extensión a la comunidad, otros)</w:t>
      </w:r>
      <w:r w:rsidDel="00000000" w:rsidR="00000000" w:rsidRPr="00000000">
        <w:rPr>
          <w:rtl w:val="0"/>
        </w:rPr>
      </w:r>
    </w:p>
    <w:sectPr>
      <w:headerReference r:id="rId16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93345</wp:posOffset>
          </wp:positionH>
          <wp:positionV relativeFrom="paragraph">
            <wp:posOffset>-416559</wp:posOffset>
          </wp:positionV>
          <wp:extent cx="2200275" cy="11188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3632200</wp:posOffset>
          </wp:positionH>
          <wp:positionV relativeFrom="paragraph">
            <wp:posOffset>-131444</wp:posOffset>
          </wp:positionV>
          <wp:extent cx="3371850" cy="67627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4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W+UqoaH0CRom+8RM4rWODRvrA==">AMUW2mWBp8GpUX8ywIhGFP4LIWiApBximHZ1LU2IOsrZ4yFWp8ZztNm8f29Jj4GJpqBKybESfYMIe63eUzu9lHJOlB1zYy9sEujZm04sqqL7mY81scWs8UXuFRe5euS8ykOcbi9uxo0q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2021-05-06T01:34:00Z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