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 de Junio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Secundaria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 Biología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13259/099 – 3581/00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Biólogo, Profesor de Biología, Ingeniero Agrónomo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Biología de los Organismos Celulares y Plantas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3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30 de Abril de 2022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Lunes de 17 a 20 hs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2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IMPORTANTE: según la Comunic. Conj N°5 lo indica en el punto 4, todos los docentes pueden presentarse a concurso, pero la designación depende de la Resol 1141/21 modificatoria de Resol N° 416, que indica que se autoriza la toma de cargos a los docentes mayores y menores de 60 años siempre que presenten las condiciones para la actividad presencial y que no pertenezcan a los grupos de riesgo.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25/06/2021 al miércoles 30/06/2021.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5638800" cy="1568192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26600" y="2995904"/>
                          <a:ext cx="5638800" cy="1568192"/>
                          <a:chOff x="2526600" y="2995904"/>
                          <a:chExt cx="5638800" cy="1568192"/>
                        </a:xfrm>
                      </wpg:grpSpPr>
                      <wpg:grpSp>
                        <wpg:cNvGrpSpPr/>
                        <wpg:grpSpPr>
                          <a:xfrm>
                            <a:off x="2526600" y="2995904"/>
                            <a:ext cx="5638800" cy="1568192"/>
                            <a:chOff x="118025" y="0"/>
                            <a:chExt cx="6740100" cy="2201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8025" y="0"/>
                              <a:ext cx="6740100" cy="220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8025" y="108175"/>
                              <a:ext cx="6740100" cy="209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Sello                                           			………………………………….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64.000244140625" w:right="0" w:firstLine="12036.000976562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Firma y sello de Autoridad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La Secretaria de Asuntos Docentes recibe conforme: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……………..……………………….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 Firma y sello Secretaria de A. D.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sello instituto sin fondo.png" id="5" name="Shape 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42450" y="0"/>
                              <a:ext cx="1530600" cy="185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ta sin fondo.png" id="6" name="Shape 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61626" y="0"/>
                              <a:ext cx="1688201" cy="116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38800" cy="1568192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5681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Biología de los Organismos Celulares y Plantas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Elementos de microbiología y micología. Reproducción. Diversidad.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Filogenias.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Cultivos de microorganismos. Importancia biológica, ecológica y económica.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Planificación y realización de proyectos de experimentación. Implicancia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el área de salud.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La diversidad en plantas vasculares y vegetales superiores. Análisis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interpretación de procesos a partir de principios o de modelos. Aspectos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morfológicos, fisiológicos y etológicos.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Características y relaciones filogenéticas de los grupos vegetales.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Expectativas de Logro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- Análisis la diversidad que presentan los organismos celulares y plantas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considerando las características estructurales y funcionales, el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embrionario y las relaciones filogenéticas de los principales taxones.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735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55245</wp:posOffset>
          </wp:positionH>
          <wp:positionV relativeFrom="paragraph">
            <wp:posOffset>-421638</wp:posOffset>
          </wp:positionV>
          <wp:extent cx="2200275" cy="111887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5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3599180</wp:posOffset>
          </wp:positionH>
          <wp:positionV relativeFrom="paragraph">
            <wp:posOffset>-69213</wp:posOffset>
          </wp:positionV>
          <wp:extent cx="3419475" cy="68580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1947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2P7BBNfvXOzx6p//MV0Wo1MNA==">AMUW2mWnNKQ01xu2kExRgbCkrbqKrz60mAr7Cfh4bPfv1yUypOFfgp4zvarVR+HMz46+FCeJnCoOGvFdaogHBlIANPxmHqOnbQhLtJgBJVHh0eAgy+iHWtkMC2BpemVTdq6cS1LQJ5Dd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2017-10-28T19:58:00Z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