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27 de marzo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Tecnicatura Superior en Industrias Agroalimentarias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3376/06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-AÑO/CURSO: 2°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-PERSPECTIVA/ESPACIO: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Espacio de Definición Institucional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-CARGA HORARIA: 1 Módulos semanales. SITUACIÓN DE REVISTA: Provisional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lunes de 17 a 18 hs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 27/03/23 al 1/04/23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- CHOTRO, LILIANA - GORRIÑO, LILIANA - GIBESSI, DARIO - LUNA, MARCELA.</w:t>
      </w:r>
    </w:p>
    <w:p w:rsidR="00000000" w:rsidDel="00000000" w:rsidP="00000000" w:rsidRDefault="00000000" w:rsidRPr="00000000" w14:paraId="0000001F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SUPLENTES: EULA, NATALIA - SCHIAVONI, VALERIA - ZAMPELUNGHE, MARINA - FORNI, LAUTARO. . </w:t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00" y="2635075"/>
                                <a:chExt cx="6618000" cy="2289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00" y="2635075"/>
                                  <a:ext cx="6618000" cy="228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00" y="2635075"/>
                                  <a:chExt cx="6618000" cy="22898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00" y="2635075"/>
                                    <a:ext cx="6618000" cy="228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2037015" y="2635095"/>
                                          <a:chExt cx="6617970" cy="2289810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2037015" y="2635095"/>
                                            <a:ext cx="6617950" cy="22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037015" y="2635095"/>
                                            <a:ext cx="6617970" cy="2289810"/>
                                            <a:chOff x="2037015" y="2635095"/>
                                            <a:chExt cx="6617970" cy="2289810"/>
                                          </a:xfrm>
                                        </wpg:grpSpPr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2037015" y="2635095"/>
                                              <a:ext cx="6617950" cy="228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2037015" y="2635095"/>
                                              <a:ext cx="6617970" cy="2289810"/>
                                              <a:chOff x="1180" y="0"/>
                                              <a:chExt cx="67397" cy="23333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1" name="Shape 21"/>
                                            <wps:spPr>
                                              <a:xfrm>
                                                <a:off x="1180" y="0"/>
                                                <a:ext cx="67375" cy="23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22" name="Shape 22"/>
                                            <wps:spPr>
                                              <a:xfrm>
                                                <a:off x="1180" y="1082"/>
                                                <a:ext cx="67397" cy="222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Sello                                           			………………………………….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Firma y sello de Autoridad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La Secretaria de Asuntos Docentes recibe conforme: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                                                                     Firma y sello Secretaria de A. D.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anchorCtr="0" anchor="t" bIns="45700" lIns="91425" spcFirstLastPara="1" rIns="91425" wrap="square" tIns="45700">
                                              <a:noAutofit/>
                                            </wps:bodyPr>
                                          </wps:wsp>
                                          <pic:pic>
                                            <pic:nvPicPr>
                                              <pic:cNvPr id="23" name="Shape 23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2">
                                                <a:alphaModFix/>
                                              </a:blip>
                                              <a:srcRect b="0" l="0" r="0" t="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10424" y="0"/>
                                                <a:ext cx="15306" cy="185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>
                                            <pic:nvPicPr>
                                              <pic:cNvPr id="24" name="Shape 24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3">
                                                <a:alphaModFix/>
                                              </a:blip>
                                              <a:srcRect b="0" l="0" r="0" t="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46616" y="0"/>
                                                <a:ext cx="16882" cy="116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5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2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MATERIA; Espacio de Definición Institucional: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Calidad y Mejora Continua </w:t>
      </w:r>
    </w:p>
    <w:p w:rsidR="00000000" w:rsidDel="00000000" w:rsidP="00000000" w:rsidRDefault="00000000" w:rsidRPr="00000000" w14:paraId="0000003A">
      <w:pPr>
        <w:spacing w:after="240" w:before="240" w:lineRule="auto"/>
        <w:jc w:val="right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Carga Horaria: 32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Contenidos:</w:t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Base de la gestión de calidad en empresas de alimentos. Organización de la empresa. Política y Cultura. Sistema de gestión. Principios de la calidad y sus herramientas. Indicadores de gestión y mejora continua.       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Seguridad alimentaria. Inocuidad.  Alérgenos. Manipulador de alimentos. Buenas prácticas de manufacturas. Fraude alimentario. Defensa de los alimentos. Puntos críticos de control (PCC). 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Sistemas de gestión de calidad y de seguridad alimentaria. Trazabilidad. Normativas públicas y privadas. Legislación nacional. Normativa regional  MERCOSUR. Tratados internacionales. Legislación Internacional y mercados internacionales. 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Regulaciones alimentarias en países y bloques regionales de referencias. Disposiciones. Banco de leyes regulatorias. Legislación supranacional: organismos multinacionales de regulaciones alimentos, comercios y alimentación. Organización de la NACIONES UNIDAS para la alimentación y la agricultura.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-69206</wp:posOffset>
          </wp:positionV>
          <wp:extent cx="2200275" cy="1118870"/>
          <wp:effectExtent b="0" l="0" r="0" t="0"/>
          <wp:wrapNone/>
          <wp:docPr id="105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58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5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www.isfdyt43.bue.infd.edu.ar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ucFJO4+Zq1dY2ToLjtxm1Myanfw==">AMUW2mWIy409m+mNdmsJ9zukoAu9zTbhom5PmmrpbbyNazuqgWpC5f6oPc0k4PWU8lxeR6EOIZjA2AeTGlaCRO2dq0eFdz+s7eDKtk4eI+a9zD/jXYqceYY=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