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marzo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Tecnicatura Superior en Industrias Agroalimentarias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3376/06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-AÑO/CURSO: 2°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-PERSPECTIVA/ESPACIO:Práctica profesional de industrias carnicas 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4 Módulos semanales (2 m. en sede + 2 m. en terreno).  SITUACIÓN DE REVISTA: Provisional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miércoles de 18 a 20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 27/03/23 al 1/04/23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CHOTRO, LILIANA - GORRIÑO, LILIANA - GIBESSI, DARIO - LUNA, MARCELA.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SUPLENTES: EULA, NATALIA - SCHIAVONI, VALERIA - ZAMPELUNGHE, MARINA - FORNI, LAUTARO. </w:t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6617970" cy="2289810"/>
                <wp:effectExtent b="0" l="0" r="0" t="0"/>
                <wp:wrapNone/>
                <wp:docPr id="10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00" y="2635075"/>
                                <a:chExt cx="6618000" cy="2289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00" y="2635075"/>
                                  <a:ext cx="6618000" cy="228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2037015" y="2635095"/>
                                          <a:chExt cx="6617970" cy="2289810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2037015" y="2635095"/>
                                            <a:ext cx="6617950" cy="228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2037015" y="2635095"/>
                                            <a:ext cx="6617970" cy="2289810"/>
                                            <a:chOff x="1180" y="0"/>
                                            <a:chExt cx="67397" cy="23333"/>
                                          </a:xfrm>
                                        </wpg:grpSpPr>
                                        <wps:wsp>
                                          <wps:cNvSpPr/>
                                          <wps:cNvPr id="19" name="Shape 19"/>
                                          <wps:spPr>
                                            <a:xfrm>
                                              <a:off x="1180" y="0"/>
                                              <a:ext cx="67375" cy="23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180" y="1082"/>
                                              <a:ext cx="67397" cy="222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Sello                                           			………………………………….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Firma y sello de Autoridad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La Secretaria de Asuntos Docentes recibe conforme: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  <w:t xml:space="preserve">                                                                                                             Firma y sello Secretaria de A. D.</w:t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-2.0000000298023224"/>
                                                  <w:jc w:val="left"/>
                                                  <w:textDirection w:val="btLr"/>
                                                </w:pPr>
                                                <w:r w:rsidDel="00000000" w:rsidR="00000000" w:rsidRPr="00000000">
                                                  <w:rPr>
                                                    <w:rFonts w:ascii="Arial" w:cs="Arial" w:eastAsia="Arial" w:hAnsi="Arial"/>
                                                    <w:b w:val="0"/>
                                                    <w:i w:val="0"/>
                                                    <w:smallCaps w:val="0"/>
                                                    <w:strike w:val="0"/>
                                                    <w:color w:val="000000"/>
                                                    <w:sz w:val="20"/>
                                                    <w:vertAlign w:val="baseline"/>
                                                  </w:rPr>
                                                </w:r>
                                              </w:p>
                                            </w:txbxContent>
                                          </wps:txbx>
                                          <wps:bodyPr anchorCtr="0" anchor="t" bIns="45700" lIns="91425" spcFirstLastPara="1" rIns="91425" wrap="square" tIns="45700">
                                            <a:noAutofit/>
                                          </wps:bodyPr>
                                        </wps:wsp>
                                        <pic:pic>
                                          <pic:nvPicPr>
                                            <pic:cNvPr id="21" name="Shape 21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2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0424" y="0"/>
                                              <a:ext cx="15306" cy="1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pic:pic>
                                          <pic:nvPicPr>
                                            <pic:cNvPr id="22" name="Shape 22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3">
                                              <a:alphaModFix/>
                                            </a:blip>
                                            <a:srcRect b="0" l="0" r="0" t="0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46616" y="0"/>
                                              <a:ext cx="16882" cy="116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101600</wp:posOffset>
                </wp:positionV>
                <wp:extent cx="6617970" cy="2289810"/>
                <wp:effectExtent b="0" l="0" r="0" t="0"/>
                <wp:wrapNone/>
                <wp:docPr id="105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33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x0g47rhmeex1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Práctica profesional de industrias carnicas I </w:t>
      </w:r>
    </w:p>
    <w:p w:rsidR="00000000" w:rsidDel="00000000" w:rsidP="00000000" w:rsidRDefault="00000000" w:rsidRPr="00000000" w14:paraId="0000003B">
      <w:pPr>
        <w:pStyle w:val="Heading1"/>
        <w:keepNext w:val="0"/>
        <w:keepLines w:val="0"/>
        <w:spacing w:before="1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wszpuqwqv0g1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128 Horas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</w:rPr>
        <w:drawing>
          <wp:inline distB="114300" distT="114300" distL="114300" distR="114300">
            <wp:extent cx="6134100" cy="3495675"/>
            <wp:effectExtent b="0" l="0" r="0" t="0"/>
            <wp:docPr id="10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95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-69207</wp:posOffset>
          </wp:positionV>
          <wp:extent cx="2200275" cy="1118870"/>
          <wp:effectExtent b="0" l="0" r="0" t="0"/>
          <wp:wrapNone/>
          <wp:docPr id="105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59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9DZVOU7d20l4s76vu3kRUQAkBRw==">AMUW2mWuF00pmC6+eHBFaKEYYyU2A4Ebcc7nP96dxavIVyf6+UqrTsoJK2rzTznzxQ06MVAdfMeqRQGrtI0kqaq+dojdbCxIybh/AH2ga2dgr31o7BpH1CQF50c4OZTWmomPJouqhAS+gnoUC1RG0GOi12Ek5/x6DA==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