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center" w:leader="none" w:pos="4419"/>
          <w:tab w:val="right" w:leader="none" w:pos="8838"/>
        </w:tabs>
        <w:jc w:val="right"/>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Navarro (B), 29 de septiembre de 2025.</w:t>
      </w:r>
    </w:p>
    <w:p w:rsidR="00000000" w:rsidDel="00000000" w:rsidP="00000000" w:rsidRDefault="00000000" w:rsidRPr="00000000" w14:paraId="00000002">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SECRETARÍA DE ASUNTOS DOCENTES</w:t>
      </w:r>
    </w:p>
    <w:p w:rsidR="00000000" w:rsidDel="00000000" w:rsidP="00000000" w:rsidRDefault="00000000" w:rsidRPr="00000000" w14:paraId="00000003">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Distrito de Navarro</w:t>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S/D </w:t>
      </w:r>
    </w:p>
    <w:p w:rsidR="00000000" w:rsidDel="00000000" w:rsidP="00000000" w:rsidRDefault="00000000" w:rsidRPr="00000000" w14:paraId="00000005">
      <w:pPr>
        <w:pBdr>
          <w:top w:space="0" w:sz="0" w:val="nil"/>
          <w:left w:space="0" w:sz="0" w:val="nil"/>
          <w:bottom w:space="0" w:sz="0" w:val="nil"/>
          <w:right w:space="0" w:sz="0" w:val="nil"/>
          <w:between w:space="0" w:sz="0" w:val="nil"/>
        </w:pBdr>
        <w:ind w:firstLine="720"/>
        <w:rPr>
          <w:rFonts w:ascii="Helvetica Neue" w:cs="Helvetica Neue" w:eastAsia="Helvetica Neue" w:hAnsi="Helvetica Neue"/>
          <w:color w:val="000000"/>
          <w:sz w:val="22"/>
          <w:szCs w:val="22"/>
        </w:rPr>
      </w:pPr>
      <w:r w:rsidDel="00000000" w:rsidR="00000000" w:rsidRPr="00000000">
        <w:rPr>
          <w:rFonts w:ascii="Helvetica Neue" w:cs="Helvetica Neue" w:eastAsia="Helvetica Neue" w:hAnsi="Helvetica Neue"/>
          <w:sz w:val="22"/>
          <w:szCs w:val="22"/>
          <w:rtl w:val="0"/>
        </w:rPr>
        <w:t xml:space="preserve">La Dirección del Instituto Superior de Formación Docente N° 242, en el marco del Anexo V “PAUTAS PARA LAS COBERTURAS DE SUPLENCIAS MENORES A CUATRO MESES” (Presentación de antecedentes en anexo III de la citada Resolución) de la Resolución N°5886/03, solicita a Ud. realice la difusión y convocatoria de aspirantes para la cobertura de módulos PROVISIONAL  de la carrera que se detallan continuación:</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Helvetica Neue" w:cs="Helvetica Neue" w:eastAsia="Helvetica Neue" w:hAnsi="Helvetica Neue"/>
          <w:color w:val="000000"/>
          <w:sz w:val="22"/>
          <w:szCs w:val="22"/>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CARRERA: PROFESORADO Educación Secundaria Economía</w:t>
      </w:r>
    </w:p>
    <w:p w:rsidR="00000000" w:rsidDel="00000000" w:rsidP="00000000" w:rsidRDefault="00000000" w:rsidRPr="00000000" w14:paraId="00000008">
      <w:pPr>
        <w:spacing w:before="140" w:lineRule="auto"/>
        <w:ind w:left="260" w:firstLine="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14:paraId="00000009">
      <w:pPr>
        <w:spacing w:before="100" w:lineRule="auto"/>
        <w:ind w:left="140" w:right="3220" w:firstLine="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AÑO/CURSO: 3º AÑO </w:t>
      </w:r>
    </w:p>
    <w:p w:rsidR="00000000" w:rsidDel="00000000" w:rsidP="00000000" w:rsidRDefault="00000000" w:rsidRPr="00000000" w14:paraId="0000000A">
      <w:pPr>
        <w:spacing w:after="240" w:before="240" w:lineRule="auto"/>
        <w:ind w:left="160" w:firstLine="0"/>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ASIGNATURA/PERSPECTIVA/ESPACIO: </w:t>
      </w:r>
      <w:r w:rsidDel="00000000" w:rsidR="00000000" w:rsidRPr="00000000">
        <w:rPr>
          <w:rFonts w:ascii="Arial" w:cs="Arial" w:eastAsia="Arial" w:hAnsi="Arial"/>
          <w:b w:val="1"/>
          <w:sz w:val="22"/>
          <w:szCs w:val="22"/>
          <w:rtl w:val="0"/>
        </w:rPr>
        <w:t xml:space="preserve">Didáctica de las Ciencias Económicas</w:t>
      </w:r>
    </w:p>
    <w:p w:rsidR="00000000" w:rsidDel="00000000" w:rsidP="00000000" w:rsidRDefault="00000000" w:rsidRPr="00000000" w14:paraId="0000000B">
      <w:pPr>
        <w:spacing w:after="240" w:before="240" w:lineRule="auto"/>
        <w:ind w:left="160" w:firstLine="0"/>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CARGA HORARIA: </w:t>
      </w:r>
      <w:r w:rsidDel="00000000" w:rsidR="00000000" w:rsidRPr="00000000">
        <w:rPr>
          <w:rFonts w:ascii="Arial" w:cs="Arial" w:eastAsia="Arial" w:hAnsi="Arial"/>
          <w:b w:val="1"/>
          <w:sz w:val="22"/>
          <w:szCs w:val="22"/>
          <w:rtl w:val="0"/>
        </w:rPr>
        <w:t xml:space="preserve">2 MÓDULOS</w:t>
      </w:r>
    </w:p>
    <w:p w:rsidR="00000000" w:rsidDel="00000000" w:rsidP="00000000" w:rsidRDefault="00000000" w:rsidRPr="00000000" w14:paraId="0000000C">
      <w:pPr>
        <w:ind w:left="160" w:right="160" w:firstLine="0"/>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SITUACIÓN DE REVISTA: </w:t>
      </w:r>
      <w:r w:rsidDel="00000000" w:rsidR="00000000" w:rsidRPr="00000000">
        <w:rPr>
          <w:rFonts w:ascii="Arial" w:cs="Arial" w:eastAsia="Arial" w:hAnsi="Arial"/>
          <w:b w:val="1"/>
          <w:sz w:val="22"/>
          <w:szCs w:val="22"/>
          <w:rtl w:val="0"/>
        </w:rPr>
        <w:t xml:space="preserve">PROVISIONAL</w:t>
      </w:r>
    </w:p>
    <w:p w:rsidR="00000000" w:rsidDel="00000000" w:rsidP="00000000" w:rsidRDefault="00000000" w:rsidRPr="00000000" w14:paraId="0000000D">
      <w:pPr>
        <w:spacing w:after="240" w:before="240" w:line="253" w:lineRule="auto"/>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TURNO: </w:t>
      </w:r>
      <w:r w:rsidDel="00000000" w:rsidR="00000000" w:rsidRPr="00000000">
        <w:rPr>
          <w:rFonts w:ascii="Arial" w:cs="Arial" w:eastAsia="Arial" w:hAnsi="Arial"/>
          <w:b w:val="1"/>
          <w:sz w:val="22"/>
          <w:szCs w:val="22"/>
          <w:rtl w:val="0"/>
        </w:rPr>
        <w:t xml:space="preserve">vespertino</w:t>
      </w:r>
    </w:p>
    <w:p w:rsidR="00000000" w:rsidDel="00000000" w:rsidP="00000000" w:rsidRDefault="00000000" w:rsidRPr="00000000" w14:paraId="0000000E">
      <w:pPr>
        <w:ind w:left="160" w:right="20" w:firstLine="0"/>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HORARIO: </w:t>
      </w:r>
      <w:r w:rsidDel="00000000" w:rsidR="00000000" w:rsidRPr="00000000">
        <w:rPr>
          <w:rFonts w:ascii="Arial" w:cs="Arial" w:eastAsia="Arial" w:hAnsi="Arial"/>
          <w:b w:val="1"/>
          <w:sz w:val="22"/>
          <w:szCs w:val="22"/>
          <w:rtl w:val="0"/>
        </w:rPr>
        <w:t xml:space="preserve">Viernes de 18:00 a 20:00 hs</w:t>
      </w:r>
    </w:p>
    <w:p w:rsidR="00000000" w:rsidDel="00000000" w:rsidP="00000000" w:rsidRDefault="00000000" w:rsidRPr="00000000" w14:paraId="0000000F">
      <w:pPr>
        <w:ind w:left="160" w:right="20" w:firstLine="0"/>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POSIBILIDAD DE CAMBIO DE HORARIO:</w:t>
      </w:r>
      <w:r w:rsidDel="00000000" w:rsidR="00000000" w:rsidRPr="00000000">
        <w:rPr>
          <w:rFonts w:ascii="Arial" w:cs="Arial" w:eastAsia="Arial" w:hAnsi="Arial"/>
          <w:b w:val="1"/>
          <w:sz w:val="22"/>
          <w:szCs w:val="22"/>
          <w:rtl w:val="0"/>
        </w:rPr>
        <w:t xml:space="preserve"> NO</w:t>
      </w:r>
    </w:p>
    <w:p w:rsidR="00000000" w:rsidDel="00000000" w:rsidP="00000000" w:rsidRDefault="00000000" w:rsidRPr="00000000" w14:paraId="00000010">
      <w:pPr>
        <w:ind w:left="160" w:right="20" w:firstLine="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14:paraId="00000011">
      <w:pPr>
        <w:jc w:val="both"/>
        <w:rPr>
          <w:rFonts w:ascii="Arial" w:cs="Arial" w:eastAsia="Arial" w:hAnsi="Arial"/>
          <w:b w:val="1"/>
          <w:sz w:val="22"/>
          <w:szCs w:val="22"/>
          <w:u w:val="single"/>
        </w:rPr>
      </w:pP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1"/>
          <w:sz w:val="22"/>
          <w:szCs w:val="22"/>
          <w:u w:val="single"/>
          <w:rtl w:val="0"/>
        </w:rPr>
        <w:t xml:space="preserve">Cronograma y aclaraciones importantes</w:t>
      </w:r>
    </w:p>
    <w:p w:rsidR="00000000" w:rsidDel="00000000" w:rsidP="00000000" w:rsidRDefault="00000000" w:rsidRPr="00000000" w14:paraId="00000012">
      <w:pPr>
        <w:spacing w:before="180" w:line="253"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DIFUSIÓN e INSCRIPCIÓN</w:t>
      </w:r>
      <w:r w:rsidDel="00000000" w:rsidR="00000000" w:rsidRPr="00000000">
        <w:rPr>
          <w:rFonts w:ascii="Arial" w:cs="Arial" w:eastAsia="Arial" w:hAnsi="Arial"/>
          <w:sz w:val="22"/>
          <w:szCs w:val="22"/>
          <w:rtl w:val="0"/>
        </w:rPr>
        <w:t xml:space="preserve">: Del 01/10/25  al  06/10/2025  inclusive hasta las 22 horas.</w:t>
      </w:r>
    </w:p>
    <w:p w:rsidR="00000000" w:rsidDel="00000000" w:rsidP="00000000" w:rsidRDefault="00000000" w:rsidRPr="00000000" w14:paraId="00000013">
      <w:pPr>
        <w:spacing w:before="180" w:line="253" w:lineRule="auto"/>
        <w:jc w:val="both"/>
        <w:rPr>
          <w:rFonts w:ascii="Arial" w:cs="Arial" w:eastAsia="Arial" w:hAnsi="Arial"/>
          <w:b w:val="1"/>
          <w:sz w:val="22"/>
          <w:szCs w:val="22"/>
        </w:rPr>
      </w:pPr>
      <w:r w:rsidDel="00000000" w:rsidR="00000000" w:rsidRPr="00000000">
        <w:rPr>
          <w:rFonts w:ascii="Arial" w:cs="Arial" w:eastAsia="Arial" w:hAnsi="Arial"/>
          <w:sz w:val="22"/>
          <w:szCs w:val="22"/>
          <w:rtl w:val="0"/>
        </w:rPr>
        <w:t xml:space="preserve">Los/as aspirantes deberán completar la Declaración Jurada de títulos y antecedentes que obran como Anexo III de la Resolución 5886/03 (por ser cobertura por Anexo V</w:t>
      </w:r>
      <w:r w:rsidDel="00000000" w:rsidR="00000000" w:rsidRPr="00000000">
        <w:rPr>
          <w:rFonts w:ascii="Arial" w:cs="Arial" w:eastAsia="Arial" w:hAnsi="Arial"/>
          <w:b w:val="1"/>
          <w:sz w:val="22"/>
          <w:szCs w:val="22"/>
          <w:rtl w:val="0"/>
        </w:rPr>
        <w:t xml:space="preserve">, no se evalúan proyectos de cátedra)</w:t>
      </w:r>
    </w:p>
    <w:p w:rsidR="00000000" w:rsidDel="00000000" w:rsidP="00000000" w:rsidRDefault="00000000" w:rsidRPr="00000000" w14:paraId="00000014">
      <w:pPr>
        <w:spacing w:before="180" w:line="253" w:lineRule="auto"/>
        <w:jc w:val="both"/>
        <w:rPr>
          <w:rFonts w:ascii="Arial" w:cs="Arial" w:eastAsia="Arial" w:hAnsi="Arial"/>
          <w:b w:val="1"/>
          <w:i w:val="1"/>
          <w:sz w:val="22"/>
          <w:szCs w:val="22"/>
        </w:rPr>
      </w:pPr>
      <w:r w:rsidDel="00000000" w:rsidR="00000000" w:rsidRPr="00000000">
        <w:rPr>
          <w:rFonts w:ascii="Arial" w:cs="Arial" w:eastAsia="Arial" w:hAnsi="Arial"/>
          <w:sz w:val="22"/>
          <w:szCs w:val="22"/>
          <w:rtl w:val="0"/>
        </w:rPr>
        <w:t xml:space="preserve">Tanto el Anexo III como la documentación respaldatoria deben ser enviados en formato PDF (preferentemente colocar en un mismo archivo toda la documentación respaldatoria), como archivo adjunto, al mail del ISFD N° 242 consultas242navarro@gmail.com indicando en el </w:t>
      </w:r>
      <w:r w:rsidDel="00000000" w:rsidR="00000000" w:rsidRPr="00000000">
        <w:rPr>
          <w:rFonts w:ascii="Arial" w:cs="Arial" w:eastAsia="Arial" w:hAnsi="Arial"/>
          <w:b w:val="1"/>
          <w:i w:val="1"/>
          <w:sz w:val="22"/>
          <w:szCs w:val="22"/>
          <w:rtl w:val="0"/>
        </w:rPr>
        <w:t xml:space="preserve">Asunto</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1"/>
          <w:i w:val="1"/>
          <w:sz w:val="22"/>
          <w:szCs w:val="22"/>
          <w:rtl w:val="0"/>
        </w:rPr>
        <w:t xml:space="preserve">“Concurso –nombre de la materia-“ y simultáneamente entregar el anexo en nuestra secretaría hasta en lunes 6 de octubre a las 21:30.</w:t>
      </w:r>
    </w:p>
    <w:p w:rsidR="00000000" w:rsidDel="00000000" w:rsidP="00000000" w:rsidRDefault="00000000" w:rsidRPr="00000000" w14:paraId="00000015">
      <w:pPr>
        <w:spacing w:before="180" w:line="253"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se valorarán envíos fuera de la fecha establecida, ni datos declarados sin documentación respaldatoria.</w:t>
      </w:r>
    </w:p>
    <w:p w:rsidR="00000000" w:rsidDel="00000000" w:rsidP="00000000" w:rsidRDefault="00000000" w:rsidRPr="00000000" w14:paraId="00000016">
      <w:pPr>
        <w:spacing w:before="180" w:line="253"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El </w:t>
      </w:r>
      <w:r w:rsidDel="00000000" w:rsidR="00000000" w:rsidRPr="00000000">
        <w:rPr>
          <w:rFonts w:ascii="Arial" w:cs="Arial" w:eastAsia="Arial" w:hAnsi="Arial"/>
          <w:b w:val="1"/>
          <w:i w:val="1"/>
          <w:sz w:val="22"/>
          <w:szCs w:val="22"/>
          <w:rtl w:val="0"/>
        </w:rPr>
        <w:t xml:space="preserve">Consejo Académico Institucional</w:t>
      </w:r>
      <w:r w:rsidDel="00000000" w:rsidR="00000000" w:rsidRPr="00000000">
        <w:rPr>
          <w:rFonts w:ascii="Arial" w:cs="Arial" w:eastAsia="Arial" w:hAnsi="Arial"/>
          <w:sz w:val="22"/>
          <w:szCs w:val="22"/>
          <w:rtl w:val="0"/>
        </w:rPr>
        <w:t xml:space="preserve"> determinará la prioridad de acceso para cubrir las suplencias, en función de la evaluación de títulos y antecedentes para la especialidad conforme a las pautas del Anexo II de la Res. 5886/03</w:t>
      </w:r>
      <w:r w:rsidDel="00000000" w:rsidR="00000000" w:rsidRPr="00000000">
        <w:rPr>
          <w:rFonts w:ascii="Arial" w:cs="Arial" w:eastAsia="Arial" w:hAnsi="Arial"/>
          <w:sz w:val="22"/>
          <w:szCs w:val="22"/>
          <w:highlight w:val="yellow"/>
          <w:rtl w:val="0"/>
        </w:rPr>
        <w:t xml:space="preserve">. FECHA DE EVALUACIÓN:.</w:t>
      </w:r>
      <w:r w:rsidDel="00000000" w:rsidR="00000000" w:rsidRPr="00000000">
        <w:rPr>
          <w:rFonts w:ascii="Arial" w:cs="Arial" w:eastAsia="Arial" w:hAnsi="Arial"/>
          <w:sz w:val="22"/>
          <w:szCs w:val="22"/>
          <w:rtl w:val="0"/>
        </w:rPr>
        <w:t xml:space="preserve">8 de octubre.</w:t>
      </w:r>
    </w:p>
    <w:p w:rsidR="00000000" w:rsidDel="00000000" w:rsidP="00000000" w:rsidRDefault="00000000" w:rsidRPr="00000000" w14:paraId="00000017">
      <w:pPr>
        <w:spacing w:before="180" w:line="253"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notificará a los/as postulantes del orden de mérito que resultare y a la SAD para proceder a la designación.</w:t>
      </w:r>
    </w:p>
    <w:p w:rsidR="00000000" w:rsidDel="00000000" w:rsidP="00000000" w:rsidRDefault="00000000" w:rsidRPr="00000000" w14:paraId="00000018">
      <w:pPr>
        <w:spacing w:before="180" w:line="253" w:lineRule="auto"/>
        <w:jc w:val="both"/>
        <w:rPr>
          <w:rFonts w:ascii="Helvetica Neue" w:cs="Helvetica Neue" w:eastAsia="Helvetica Neue" w:hAnsi="Helvetica Neue"/>
          <w:sz w:val="22"/>
          <w:szCs w:val="22"/>
        </w:rPr>
      </w:pPr>
      <w:r w:rsidDel="00000000" w:rsidR="00000000" w:rsidRPr="00000000">
        <w:rPr>
          <w:rFonts w:ascii="Arial" w:cs="Arial" w:eastAsia="Arial" w:hAnsi="Arial"/>
          <w:sz w:val="22"/>
          <w:szCs w:val="22"/>
          <w:rtl w:val="0"/>
        </w:rPr>
        <w:t xml:space="preserve">Se solicita a los/as postulantes indicar su correo ABC para la notificación fehaciente.</w:t>
      </w:r>
      <w:r w:rsidDel="00000000" w:rsidR="00000000" w:rsidRPr="00000000">
        <w:rPr>
          <w:rtl w:val="0"/>
        </w:rPr>
      </w:r>
    </w:p>
    <w:p w:rsidR="00000000" w:rsidDel="00000000" w:rsidP="00000000" w:rsidRDefault="00000000" w:rsidRPr="00000000" w14:paraId="00000019">
      <w:pPr>
        <w:spacing w:before="180" w:line="253" w:lineRule="auto"/>
        <w:jc w:val="both"/>
        <w:rPr>
          <w:rFonts w:ascii="Helvetica Neue" w:cs="Helvetica Neue" w:eastAsia="Helvetica Neue" w:hAnsi="Helvetica Neue"/>
          <w:color w:val="000000"/>
          <w:sz w:val="22"/>
          <w:szCs w:val="22"/>
        </w:rPr>
      </w:pPr>
      <w:r w:rsidDel="00000000" w:rsidR="00000000" w:rsidRPr="00000000">
        <w:rPr>
          <w:rFonts w:ascii="Helvetica Neue" w:cs="Helvetica Neue" w:eastAsia="Helvetica Neue" w:hAnsi="Helvetica Neue"/>
          <w:color w:val="000000"/>
          <w:sz w:val="22"/>
          <w:szCs w:val="22"/>
          <w:rtl w:val="0"/>
        </w:rPr>
        <w:t xml:space="preserve">Sin más, saluda a Ud. cordialmente.</w:t>
      </w:r>
    </w:p>
    <w:sectPr>
      <w:headerReference r:id="rId7" w:type="default"/>
      <w:footerReference r:id="rId8" w:type="default"/>
      <w:pgSz w:h="16838" w:w="11906" w:orient="portrait"/>
      <w:pgMar w:bottom="964" w:top="1134" w:left="1134" w:right="1134" w:header="709" w:footer="85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right" w:leader="none" w:pos="9020"/>
        <w:tab w:val="center" w:leader="none" w:pos="4819"/>
        <w:tab w:val="right" w:leader="none" w:pos="9638"/>
      </w:tabs>
      <w:rPr>
        <w:rFonts w:ascii="Helvetica Neue" w:cs="Helvetica Neue" w:eastAsia="Helvetica Neue" w:hAnsi="Helvetica Neue"/>
        <w:color w:val="000000"/>
      </w:rPr>
    </w:pPr>
    <w:r w:rsidDel="00000000" w:rsidR="00000000" w:rsidRPr="00000000">
      <w:rPr>
        <w:rFonts w:ascii="Helvetica Neue" w:cs="Helvetica Neue" w:eastAsia="Helvetica Neue" w:hAnsi="Helvetica Neue"/>
        <w:color w:val="000000"/>
        <w:rtl w:val="0"/>
      </w:rPr>
      <w:tab/>
      <w:t xml:space="preserve">Página </w:t>
    </w:r>
    <w:r w:rsidDel="00000000" w:rsidR="00000000" w:rsidRPr="00000000">
      <w:rPr>
        <w:rFonts w:ascii="Helvetica Neue" w:cs="Helvetica Neue" w:eastAsia="Helvetica Neue" w:hAnsi="Helvetica Neue"/>
        <w:color w:val="000000"/>
      </w:rPr>
      <w:fldChar w:fldCharType="begin"/>
      <w:instrText xml:space="preserve">PAGE</w:instrText>
      <w:fldChar w:fldCharType="separate"/>
      <w:fldChar w:fldCharType="end"/>
    </w:r>
    <w:r w:rsidDel="00000000" w:rsidR="00000000" w:rsidRPr="00000000">
      <w:rPr>
        <w:rFonts w:ascii="Helvetica Neue" w:cs="Helvetica Neue" w:eastAsia="Helvetica Neue" w:hAnsi="Helvetica Neue"/>
        <w:color w:val="000000"/>
        <w:rtl w:val="0"/>
      </w:rPr>
      <w:t xml:space="preserve"> de </w:t>
    </w:r>
    <w:r w:rsidDel="00000000" w:rsidR="00000000" w:rsidRPr="00000000">
      <w:rPr>
        <w:rFonts w:ascii="Helvetica Neue" w:cs="Helvetica Neue" w:eastAsia="Helvetica Neue" w:hAnsi="Helvetica Neue"/>
        <w:color w:val="000000"/>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-252078</wp:posOffset>
          </wp:positionH>
          <wp:positionV relativeFrom="paragraph">
            <wp:posOffset>-430508</wp:posOffset>
          </wp:positionV>
          <wp:extent cx="1028700" cy="1095375"/>
          <wp:effectExtent b="0" l="0" r="0" t="0"/>
          <wp:wrapSquare wrapText="bothSides" distB="0" distT="0" distL="114300" distR="114300"/>
          <wp:docPr descr="1" id="23" name="image2.jpg"/>
          <a:graphic>
            <a:graphicData uri="http://schemas.openxmlformats.org/drawingml/2006/picture">
              <pic:pic>
                <pic:nvPicPr>
                  <pic:cNvPr descr="1" id="0" name="image2.jpg"/>
                  <pic:cNvPicPr preferRelativeResize="0"/>
                </pic:nvPicPr>
                <pic:blipFill>
                  <a:blip r:embed="rId1"/>
                  <a:srcRect b="23008" l="27513" r="26720" t="28307"/>
                  <a:stretch>
                    <a:fillRect/>
                  </a:stretch>
                </pic:blipFill>
                <pic:spPr>
                  <a:xfrm>
                    <a:off x="0" y="0"/>
                    <a:ext cx="1028700" cy="109537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3429634</wp:posOffset>
          </wp:positionH>
          <wp:positionV relativeFrom="paragraph">
            <wp:posOffset>-332721</wp:posOffset>
          </wp:positionV>
          <wp:extent cx="3228975" cy="647700"/>
          <wp:effectExtent b="0" l="0" r="0" t="0"/>
          <wp:wrapSquare wrapText="bothSides" distB="0" distT="0" distL="114300" distR="114300"/>
          <wp:docPr descr="https://lh6.googleusercontent.com/XFMDt3KC0zs5rh6RBKbMABMIDT7ZkftnC41PKiGjTg5ay2ncmX_P_sjA_cpA6pV2JDLq_KfO3WrzVlkPbFx-sa5EraVoeTkePkm9H_vOcJBxnPTLhFcAZ-7FHCRcaGU9Dp9z3tjVdiuXlyp-HWrn53QHLed_Fs8Noo9MgL6CcLmmVNSB0mjcNO3vP6-faJMAc7ibbdm6ug" id="24" name="image1.png"/>
          <a:graphic>
            <a:graphicData uri="http://schemas.openxmlformats.org/drawingml/2006/picture">
              <pic:pic>
                <pic:nvPicPr>
                  <pic:cNvPr descr="https://lh6.googleusercontent.com/XFMDt3KC0zs5rh6RBKbMABMIDT7ZkftnC41PKiGjTg5ay2ncmX_P_sjA_cpA6pV2JDLq_KfO3WrzVlkPbFx-sa5EraVoeTkePkm9H_vOcJBxnPTLhFcAZ-7FHCRcaGU9Dp9z3tjVdiuXlyp-HWrn53QHLed_Fs8Noo9MgL6CcLmmVNSB0mjcNO3vP6-faJMAc7ibbdm6ug" id="0" name="image1.png"/>
                  <pic:cNvPicPr preferRelativeResize="0"/>
                </pic:nvPicPr>
                <pic:blipFill>
                  <a:blip r:embed="rId2"/>
                  <a:srcRect b="0" l="0" r="0" t="0"/>
                  <a:stretch>
                    <a:fillRect/>
                  </a:stretch>
                </pic:blipFill>
                <pic:spPr>
                  <a:xfrm>
                    <a:off x="0" y="0"/>
                    <a:ext cx="3228975" cy="647700"/>
                  </a:xfrm>
                  <a:prstGeom prst="rect"/>
                  <a:ln/>
                </pic:spPr>
              </pic:pic>
            </a:graphicData>
          </a:graphic>
        </wp:anchor>
      </w:drawing>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p w:rsidR="00000000" w:rsidDel="00000000" w:rsidP="00000000" w:rsidRDefault="00000000" w:rsidRPr="00000000" w14:paraId="0000001D">
    <w:pPr>
      <w:tabs>
        <w:tab w:val="center" w:leader="none" w:pos="4419"/>
        <w:tab w:val="right" w:leader="none" w:pos="8838"/>
      </w:tabs>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center" w:leader="none" w:pos="4419"/>
        <w:tab w:val="right" w:leader="none" w:pos="8838"/>
      </w:tabs>
      <w:rPr>
        <w:rFonts w:ascii="Helvetica Neue" w:cs="Helvetica Neue" w:eastAsia="Helvetica Neue" w:hAnsi="Helvetica Neue"/>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a" w:customStyle="1">
    <w:basedOn w:val="TableNormal8"/>
    <w:tblPr>
      <w:tblStyleRowBandSize w:val="1"/>
      <w:tblStyleColBandSize w:val="1"/>
    </w:tblPr>
  </w:style>
  <w:style w:type="table" w:styleId="a0" w:customStyle="1">
    <w:basedOn w:val="TableNormal8"/>
    <w:tblPr>
      <w:tblStyleRowBandSize w:val="1"/>
      <w:tblStyleColBandSize w:val="1"/>
    </w:tblPr>
  </w:style>
  <w:style w:type="table" w:styleId="a1" w:customStyle="1">
    <w:basedOn w:val="TableNormal8"/>
    <w:tblPr>
      <w:tblStyleRowBandSize w:val="1"/>
      <w:tblStyleColBandSize w:val="1"/>
    </w:tblPr>
  </w:style>
  <w:style w:type="table" w:styleId="a2" w:customStyle="1">
    <w:basedOn w:val="TableNormal8"/>
    <w:tblPr>
      <w:tblStyleRowBandSize w:val="1"/>
      <w:tblStyleColBandSize w:val="1"/>
    </w:tblPr>
  </w:style>
  <w:style w:type="table" w:styleId="a3" w:customStyle="1">
    <w:basedOn w:val="TableNormal8"/>
    <w:tblPr>
      <w:tblStyleRowBandSize w:val="1"/>
      <w:tblStyleColBandSize w:val="1"/>
    </w:tblPr>
  </w:style>
  <w:style w:type="table" w:styleId="a4" w:customStyle="1">
    <w:basedOn w:val="TableNormal8"/>
    <w:tblPr>
      <w:tblStyleRowBandSize w:val="1"/>
      <w:tblStyleColBandSize w:val="1"/>
    </w:tblPr>
  </w:style>
  <w:style w:type="table" w:styleId="a5" w:customStyle="1">
    <w:basedOn w:val="TableNormal8"/>
    <w:tblPr>
      <w:tblStyleRowBandSize w:val="1"/>
      <w:tblStyleColBandSize w:val="1"/>
    </w:tblPr>
  </w:style>
  <w:style w:type="table" w:styleId="a6" w:customStyle="1">
    <w:basedOn w:val="TableNormal8"/>
    <w:tblPr>
      <w:tblStyleRowBandSize w:val="1"/>
      <w:tblStyleColBandSize w:val="1"/>
    </w:tblPr>
  </w:style>
  <w:style w:type="table" w:styleId="a7" w:customStyle="1">
    <w:basedOn w:val="TableNormal8"/>
    <w:tblPr>
      <w:tblStyleRowBandSize w:val="1"/>
      <w:tblStyleColBandSize w:val="1"/>
    </w:tblPr>
  </w:style>
  <w:style w:type="table" w:styleId="a8" w:customStyle="1">
    <w:basedOn w:val="TableNormal8"/>
    <w:tblPr>
      <w:tblStyleRowBandSize w:val="1"/>
      <w:tblStyleColBandSize w:val="1"/>
    </w:tblPr>
  </w:style>
  <w:style w:type="table" w:styleId="a9" w:customStyle="1">
    <w:basedOn w:val="TableNormal8"/>
    <w:tblPr>
      <w:tblStyleRowBandSize w:val="1"/>
      <w:tblStyleColBandSize w:val="1"/>
    </w:tblPr>
  </w:style>
  <w:style w:type="table" w:styleId="aa" w:customStyle="1">
    <w:basedOn w:val="TableNormal8"/>
    <w:tblPr>
      <w:tblStyleRowBandSize w:val="1"/>
      <w:tblStyleColBandSize w:val="1"/>
    </w:tblPr>
  </w:style>
  <w:style w:type="table" w:styleId="ab" w:customStyle="1">
    <w:basedOn w:val="TableNormal8"/>
    <w:tblPr>
      <w:tblStyleRowBandSize w:val="1"/>
      <w:tblStyleColBandSize w:val="1"/>
    </w:tblPr>
  </w:style>
  <w:style w:type="table" w:styleId="ac" w:customStyle="1">
    <w:basedOn w:val="TableNormal8"/>
    <w:tblPr>
      <w:tblStyleRowBandSize w:val="1"/>
      <w:tblStyleColBandSize w:val="1"/>
    </w:tblPr>
  </w:style>
  <w:style w:type="table" w:styleId="ad" w:customStyle="1">
    <w:basedOn w:val="TableNormal8"/>
    <w:tblPr>
      <w:tblStyleRowBandSize w:val="1"/>
      <w:tblStyleColBandSize w:val="1"/>
    </w:tblPr>
  </w:style>
  <w:style w:type="table" w:styleId="ae" w:customStyle="1">
    <w:basedOn w:val="TableNormal8"/>
    <w:tblPr>
      <w:tblStyleRowBandSize w:val="1"/>
      <w:tblStyleColBandSize w:val="1"/>
    </w:tblPr>
  </w:style>
  <w:style w:type="table" w:styleId="af" w:customStyle="1">
    <w:basedOn w:val="TableNormal8"/>
    <w:tblPr>
      <w:tblStyleRowBandSize w:val="1"/>
      <w:tblStyleColBandSize w:val="1"/>
    </w:tblPr>
  </w:style>
  <w:style w:type="table" w:styleId="af0" w:customStyle="1">
    <w:basedOn w:val="TableNormal8"/>
    <w:tblPr>
      <w:tblStyleRowBandSize w:val="1"/>
      <w:tblStyleColBandSize w:val="1"/>
    </w:tblPr>
  </w:style>
  <w:style w:type="table" w:styleId="af1" w:customStyle="1">
    <w:basedOn w:val="TableNormal8"/>
    <w:tblPr>
      <w:tblStyleRowBandSize w:val="1"/>
      <w:tblStyleColBandSize w:val="1"/>
    </w:tblPr>
  </w:style>
  <w:style w:type="table" w:styleId="af2" w:customStyle="1">
    <w:basedOn w:val="TableNormal8"/>
    <w:tblPr>
      <w:tblStyleRowBandSize w:val="1"/>
      <w:tblStyleColBandSize w:val="1"/>
    </w:tblPr>
  </w:style>
  <w:style w:type="table" w:styleId="af3" w:customStyle="1">
    <w:basedOn w:val="TableNormal8"/>
    <w:tblPr>
      <w:tblStyleRowBandSize w:val="1"/>
      <w:tblStyleColBandSize w:val="1"/>
    </w:tblPr>
  </w:style>
  <w:style w:type="table" w:styleId="af4" w:customStyle="1">
    <w:basedOn w:val="TableNormal8"/>
    <w:tblPr>
      <w:tblStyleRowBandSize w:val="1"/>
      <w:tblStyleColBandSize w:val="1"/>
    </w:tblPr>
  </w:style>
  <w:style w:type="table" w:styleId="af5" w:customStyle="1">
    <w:basedOn w:val="TableNormal8"/>
    <w:tblPr>
      <w:tblStyleRowBandSize w:val="1"/>
      <w:tblStyleColBandSize w:val="1"/>
    </w:tblPr>
  </w:style>
  <w:style w:type="table" w:styleId="af6" w:customStyle="1">
    <w:basedOn w:val="TableNormal8"/>
    <w:tblPr>
      <w:tblStyleRowBandSize w:val="1"/>
      <w:tblStyleColBandSize w:val="1"/>
    </w:tblPr>
  </w:style>
  <w:style w:type="table" w:styleId="af7" w:customStyle="1">
    <w:basedOn w:val="TableNormal8"/>
    <w:tblPr>
      <w:tblStyleRowBandSize w:val="1"/>
      <w:tblStyleColBandSize w:val="1"/>
    </w:tblPr>
  </w:style>
  <w:style w:type="table" w:styleId="af8" w:customStyle="1">
    <w:basedOn w:val="TableNormal8"/>
    <w:tblPr>
      <w:tblStyleRowBandSize w:val="1"/>
      <w:tblStyleColBandSize w:val="1"/>
    </w:tblPr>
  </w:style>
  <w:style w:type="table" w:styleId="af9" w:customStyle="1">
    <w:basedOn w:val="TableNormal8"/>
    <w:tblPr>
      <w:tblStyleRowBandSize w:val="1"/>
      <w:tblStyleColBandSize w:val="1"/>
    </w:tblPr>
  </w:style>
  <w:style w:type="table" w:styleId="afa" w:customStyle="1">
    <w:basedOn w:val="TableNormal8"/>
    <w:tblPr>
      <w:tblStyleRowBandSize w:val="1"/>
      <w:tblStyleColBandSize w:val="1"/>
    </w:tblPr>
  </w:style>
  <w:style w:type="table" w:styleId="afb" w:customStyle="1">
    <w:basedOn w:val="TableNormal8"/>
    <w:tblPr>
      <w:tblStyleRowBandSize w:val="1"/>
      <w:tblStyleColBandSize w:val="1"/>
    </w:tblPr>
  </w:style>
  <w:style w:type="table" w:styleId="afc" w:customStyle="1">
    <w:basedOn w:val="TableNormal8"/>
    <w:tblPr>
      <w:tblStyleRowBandSize w:val="1"/>
      <w:tblStyleColBandSize w:val="1"/>
    </w:tblPr>
  </w:style>
  <w:style w:type="table" w:styleId="afd" w:customStyle="1">
    <w:basedOn w:val="TableNormal8"/>
    <w:tblPr>
      <w:tblStyleRowBandSize w:val="1"/>
      <w:tblStyleColBandSize w:val="1"/>
    </w:tblPr>
  </w:style>
  <w:style w:type="table" w:styleId="afe" w:customStyle="1">
    <w:basedOn w:val="TableNormal8"/>
    <w:tblPr>
      <w:tblStyleRowBandSize w:val="1"/>
      <w:tblStyleColBandSize w:val="1"/>
    </w:tblPr>
  </w:style>
  <w:style w:type="table" w:styleId="aff" w:customStyle="1">
    <w:basedOn w:val="TableNormal8"/>
    <w:tblPr>
      <w:tblStyleRowBandSize w:val="1"/>
      <w:tblStyleColBandSize w:val="1"/>
    </w:tblPr>
  </w:style>
  <w:style w:type="table" w:styleId="aff0" w:customStyle="1">
    <w:basedOn w:val="TableNormal8"/>
    <w:tblPr>
      <w:tblStyleRowBandSize w:val="1"/>
      <w:tblStyleColBandSize w:val="1"/>
    </w:tblPr>
  </w:style>
  <w:style w:type="table" w:styleId="aff1" w:customStyle="1">
    <w:basedOn w:val="TableNormal8"/>
    <w:tblPr>
      <w:tblStyleRowBandSize w:val="1"/>
      <w:tblStyleColBandSize w:val="1"/>
    </w:tblPr>
  </w:style>
  <w:style w:type="table" w:styleId="aff2" w:customStyle="1">
    <w:basedOn w:val="TableNormal8"/>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dV3G6Fl+AEzC60v0RYpr7ZZ2DQ==">CgMxLjA4AHIhMXRTOXpNMkdnaHgxRUhEWjEzNlZuZ18yV0RIazRzZ2NM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2025-08-06T18:19:00Z</dcterms:created>
  <dc:creator>pao casco</dc:creator>
</cp:coreProperties>
</file>